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4E" w:rsidRPr="00EE33DD" w:rsidRDefault="00A3184E" w:rsidP="00A3184E">
      <w:pPr>
        <w:pStyle w:val="Nadpis1"/>
        <w:numPr>
          <w:ilvl w:val="0"/>
          <w:numId w:val="0"/>
        </w:numPr>
        <w:rPr>
          <w:lang w:val="cs-CZ"/>
        </w:rPr>
      </w:pPr>
      <w:bookmarkStart w:id="0" w:name="_Toc300580084"/>
      <w:bookmarkStart w:id="1" w:name="_Toc300660250"/>
      <w:bookmarkStart w:id="2" w:name="_Toc300660624"/>
      <w:bookmarkStart w:id="3" w:name="_Toc300660722"/>
      <w:bookmarkStart w:id="4" w:name="_Toc338751148"/>
      <w:bookmarkStart w:id="5" w:name="_Toc509241095"/>
      <w:bookmarkStart w:id="6" w:name="_Toc279056061"/>
      <w:r w:rsidRPr="00EE33DD">
        <w:rPr>
          <w:lang w:val="cs-CZ"/>
        </w:rPr>
        <w:t>Shoda funkce viskozimetrických systémů se standardy</w:t>
      </w:r>
      <w:bookmarkEnd w:id="0"/>
      <w:bookmarkEnd w:id="1"/>
      <w:bookmarkEnd w:id="2"/>
      <w:bookmarkEnd w:id="3"/>
      <w:bookmarkEnd w:id="4"/>
      <w:bookmarkEnd w:id="5"/>
    </w:p>
    <w:p w:rsidR="00A3184E" w:rsidRPr="00EE33DD" w:rsidRDefault="00A3184E" w:rsidP="00A3184E">
      <w:pPr>
        <w:pStyle w:val="Text"/>
        <w:jc w:val="both"/>
      </w:pPr>
      <w:r w:rsidRPr="00EE33DD">
        <w:t>Vyráběné viskozimetrické systémy svým principem umožňují samostatně nebo s připojeným počítačem provádět měření vyhovující následujícím standardům:</w:t>
      </w:r>
    </w:p>
    <w:p w:rsidR="00A3184E" w:rsidRPr="00EE33DD" w:rsidRDefault="00A3184E" w:rsidP="00A3184E">
      <w:pPr>
        <w:rPr>
          <w:rFonts w:ascii="ArialNarrow" w:hAnsi="ArialNarrow" w:cs="ArialNarrow"/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D445 </w:t>
      </w:r>
      <w:r w:rsidRPr="00EE33DD">
        <w:rPr>
          <w:sz w:val="20"/>
          <w:lang w:val="cs-CZ"/>
        </w:rPr>
        <w:t>Standard Test Method for Kinematic Viscosity of Transparent and Opaque Liquids (and Calculation of Dynamic Viscosity)</w:t>
      </w:r>
    </w:p>
    <w:p w:rsidR="00A3184E" w:rsidRPr="00EE33DD" w:rsidRDefault="00A3184E" w:rsidP="00A3184E">
      <w:pPr>
        <w:rPr>
          <w:rFonts w:ascii="ArialNarrow" w:hAnsi="ArialNarrow" w:cs="ArialNarrow"/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D446 </w:t>
      </w:r>
      <w:r w:rsidRPr="00EE33DD">
        <w:rPr>
          <w:sz w:val="20"/>
          <w:lang w:val="cs-CZ"/>
        </w:rPr>
        <w:t>Specifications and Operating Instructions for Glass Capillary Kinematic Viscometers</w:t>
      </w:r>
    </w:p>
    <w:p w:rsidR="00A3184E" w:rsidRPr="00EE33DD" w:rsidRDefault="00A3184E" w:rsidP="00A3184E">
      <w:pPr>
        <w:rPr>
          <w:rFonts w:ascii="ArialNarrow" w:hAnsi="ArialNarrow" w:cs="ArialNarrow"/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D2270 </w:t>
      </w:r>
      <w:r w:rsidRPr="00EE33DD">
        <w:rPr>
          <w:sz w:val="20"/>
          <w:lang w:val="cs-CZ"/>
        </w:rPr>
        <w:t>Standard Practice for Calculating Viscosity Index From Kinematic Viscosity at 40 and 100°C</w:t>
      </w:r>
    </w:p>
    <w:p w:rsidR="00A3184E" w:rsidRPr="00EE33DD" w:rsidRDefault="00A3184E" w:rsidP="00A3184E">
      <w:pPr>
        <w:rPr>
          <w:rFonts w:ascii="ArialNarrow" w:hAnsi="ArialNarrow" w:cs="ArialNarrow"/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D789 </w:t>
      </w:r>
      <w:r w:rsidRPr="00EE33DD">
        <w:rPr>
          <w:sz w:val="20"/>
          <w:lang w:val="cs-CZ"/>
        </w:rPr>
        <w:t xml:space="preserve">Standard Test Methods for Determination of Solution Viscosities of </w:t>
      </w:r>
      <w:proofErr w:type="gramStart"/>
      <w:r w:rsidRPr="00EE33DD">
        <w:rPr>
          <w:sz w:val="20"/>
          <w:lang w:val="cs-CZ"/>
        </w:rPr>
        <w:t>Polyamide</w:t>
      </w:r>
      <w:proofErr w:type="gramEnd"/>
      <w:r w:rsidRPr="00EE33DD">
        <w:rPr>
          <w:sz w:val="20"/>
          <w:lang w:val="cs-CZ"/>
        </w:rPr>
        <w:t xml:space="preserve"> (PA)</w:t>
      </w:r>
    </w:p>
    <w:p w:rsidR="00A3184E" w:rsidRPr="00EE33DD" w:rsidRDefault="00A3184E" w:rsidP="00A3184E">
      <w:pPr>
        <w:rPr>
          <w:rFonts w:ascii="ArialNarrow" w:hAnsi="ArialNarrow" w:cs="ArialNarrow"/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D1243 </w:t>
      </w:r>
      <w:r w:rsidRPr="00EE33DD">
        <w:rPr>
          <w:sz w:val="20"/>
          <w:lang w:val="cs-CZ"/>
        </w:rPr>
        <w:t>Standard Test Method for Dilute Solution Viscosity of Vinyl Chloride Polymers</w:t>
      </w:r>
    </w:p>
    <w:p w:rsidR="00A3184E" w:rsidRPr="00EE33DD" w:rsidRDefault="00A3184E" w:rsidP="00A3184E">
      <w:pPr>
        <w:rPr>
          <w:rFonts w:ascii="ArialNarrow" w:hAnsi="ArialNarrow" w:cs="ArialNarrow"/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D4603 </w:t>
      </w:r>
      <w:r w:rsidRPr="00EE33DD">
        <w:rPr>
          <w:sz w:val="20"/>
          <w:lang w:val="cs-CZ"/>
        </w:rPr>
        <w:t xml:space="preserve">Standard Test Method for Determining Inherent Viscosity of </w:t>
      </w:r>
      <w:proofErr w:type="gramStart"/>
      <w:r w:rsidRPr="00EE33DD">
        <w:rPr>
          <w:sz w:val="20"/>
          <w:lang w:val="cs-CZ"/>
        </w:rPr>
        <w:t>Poly(Ethylene</w:t>
      </w:r>
      <w:proofErr w:type="gramEnd"/>
      <w:r w:rsidRPr="00EE33DD">
        <w:rPr>
          <w:sz w:val="20"/>
          <w:lang w:val="cs-CZ"/>
        </w:rPr>
        <w:t xml:space="preserve"> Terephthalate) (PET) by Glass Capillary Viscometer</w:t>
      </w:r>
    </w:p>
    <w:p w:rsidR="00A3184E" w:rsidRPr="00EE33DD" w:rsidRDefault="00A3184E" w:rsidP="00A3184E">
      <w:pPr>
        <w:rPr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ASTM D4878 </w:t>
      </w:r>
      <w:r w:rsidRPr="00EE33DD">
        <w:rPr>
          <w:sz w:val="20"/>
          <w:lang w:val="cs-CZ"/>
        </w:rPr>
        <w:t>Standard Test Methods for Polyurethane Raw Materials: Determination of Viscosity of Polyols</w:t>
      </w:r>
    </w:p>
    <w:p w:rsidR="00A3184E" w:rsidRPr="00EE33DD" w:rsidRDefault="00A3184E" w:rsidP="00A3184E">
      <w:pPr>
        <w:rPr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>ASTM D1795</w:t>
      </w:r>
      <w:r w:rsidRPr="00EE33DD">
        <w:rPr>
          <w:sz w:val="20"/>
          <w:lang w:val="cs-CZ"/>
        </w:rPr>
        <w:t xml:space="preserve"> Standard test method for intrinsic viscosity of cellulose</w:t>
      </w:r>
    </w:p>
    <w:p w:rsidR="00A3184E" w:rsidRPr="00EE33DD" w:rsidRDefault="00A3184E" w:rsidP="00A3184E">
      <w:pPr>
        <w:rPr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DIN 51562 </w:t>
      </w:r>
      <w:r w:rsidRPr="00EE33DD">
        <w:rPr>
          <w:sz w:val="20"/>
          <w:lang w:val="cs-CZ"/>
        </w:rPr>
        <w:t>Viscometry - Determination of kinematic viscosity using the Ubbelohde viscometer - Apparatus and measurement procedure</w:t>
      </w:r>
    </w:p>
    <w:p w:rsidR="00A3184E" w:rsidRPr="00EE33DD" w:rsidRDefault="00A3184E" w:rsidP="00A3184E">
      <w:pPr>
        <w:rPr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>DIN 53728</w:t>
      </w:r>
      <w:r w:rsidRPr="00EE33DD">
        <w:rPr>
          <w:sz w:val="20"/>
          <w:lang w:val="cs-CZ"/>
        </w:rPr>
        <w:t xml:space="preserve"> Testing of plastics; determination of the viscosity number of </w:t>
      </w:r>
      <w:proofErr w:type="gramStart"/>
      <w:r w:rsidRPr="00EE33DD">
        <w:rPr>
          <w:sz w:val="20"/>
          <w:lang w:val="cs-CZ"/>
        </w:rPr>
        <w:t>polyethylene</w:t>
      </w:r>
      <w:proofErr w:type="gramEnd"/>
      <w:r w:rsidRPr="00EE33DD">
        <w:rPr>
          <w:sz w:val="20"/>
          <w:lang w:val="cs-CZ"/>
        </w:rPr>
        <w:t xml:space="preserve"> terephthalate (PETP) or polybutylene terephthalate (PBTP) in dilute solution</w:t>
      </w:r>
    </w:p>
    <w:p w:rsidR="00A3184E" w:rsidRPr="00EE33DD" w:rsidRDefault="00A3184E" w:rsidP="00A3184E">
      <w:pPr>
        <w:rPr>
          <w:sz w:val="20"/>
          <w:lang w:val="cs-CZ"/>
        </w:rPr>
      </w:pPr>
      <w:r w:rsidRPr="00EE33DD">
        <w:rPr>
          <w:rFonts w:ascii="ArialNarrow" w:hAnsi="ArialNarrow" w:cs="ArialNarrow"/>
          <w:sz w:val="20"/>
          <w:lang w:val="cs-CZ"/>
        </w:rPr>
        <w:t xml:space="preserve">EN ISO 1628 </w:t>
      </w:r>
      <w:r w:rsidRPr="00EE33DD">
        <w:rPr>
          <w:sz w:val="20"/>
          <w:lang w:val="cs-CZ"/>
        </w:rPr>
        <w:t>Plastics -- Determination of the viscosity of polymers in dilute solution using capillary viscometers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rPr>
          <w:rFonts w:ascii="ArialNarrow" w:hAnsi="ArialNarrow" w:cs="ArialNarrow"/>
        </w:rPr>
        <w:t xml:space="preserve">EN ISO 307 </w:t>
      </w:r>
      <w:r w:rsidRPr="00EE33DD">
        <w:t>Plastics -- Polyamides -- Determination of viscosity number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rPr>
          <w:rFonts w:ascii="ArialNarrow" w:hAnsi="ArialNarrow" w:cs="ArialNarrow"/>
        </w:rPr>
        <w:t xml:space="preserve">ISO 3104 </w:t>
      </w:r>
      <w:r w:rsidRPr="00EE33DD">
        <w:t>Petroleum products -- Transparent and opaque liquids -- Determination of kinematic viscosity and calculation of dynamic viscosity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rPr>
          <w:rFonts w:ascii="ArialNarrow" w:hAnsi="ArialNarrow" w:cs="ArialNarrow"/>
        </w:rPr>
        <w:t xml:space="preserve">ISO 3105 </w:t>
      </w:r>
      <w:r w:rsidRPr="00EE33DD">
        <w:t>Glass capillary kinematic viscometers -- Specifications and operating instructions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rPr>
          <w:rFonts w:ascii="ArialNarrow" w:hAnsi="ArialNarrow" w:cs="ArialNarrow"/>
        </w:rPr>
        <w:t xml:space="preserve">ISO 2909 </w:t>
      </w:r>
      <w:r w:rsidRPr="00EE33DD">
        <w:t>Petroleum products - Calculation of viscosity index from kinematic viscosity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rPr>
          <w:rFonts w:ascii="ArialNarrow" w:hAnsi="ArialNarrow" w:cs="ArialNarrow"/>
        </w:rPr>
        <w:t>ISO 5351</w:t>
      </w:r>
      <w:r w:rsidRPr="00EE33DD">
        <w:t xml:space="preserve"> Pulps – Determination of limiting viscosity number in cupriethylenediamine (CED) solution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rPr>
          <w:rFonts w:ascii="ArialNarrow" w:hAnsi="ArialNarrow" w:cs="ArialNarrow"/>
        </w:rPr>
        <w:t>ISO 7213</w:t>
      </w:r>
      <w:r w:rsidRPr="00EE33DD">
        <w:t xml:space="preserve"> Pulps – Sampling for testing</w:t>
      </w:r>
    </w:p>
    <w:p w:rsidR="00A3184E" w:rsidRPr="00EE33DD" w:rsidRDefault="00A3184E" w:rsidP="00A3184E">
      <w:pPr>
        <w:pStyle w:val="Text"/>
        <w:spacing w:after="0" w:line="240" w:lineRule="auto"/>
        <w:jc w:val="both"/>
      </w:pPr>
    </w:p>
    <w:p w:rsidR="00A3184E" w:rsidRPr="00EE33DD" w:rsidRDefault="00A3184E" w:rsidP="00A3184E">
      <w:pPr>
        <w:pStyle w:val="Text"/>
        <w:spacing w:after="0" w:line="240" w:lineRule="auto"/>
        <w:jc w:val="both"/>
      </w:pPr>
      <w:r w:rsidRPr="00EE33DD">
        <w:t>*) Princip měření je způsobilý vyhovět uvedeným standardům, tj. měření se provádí v kapilárních viskozimetrech a průtokové doby jsou měřeny elektronicky. Další požadavky na různé metodiky následných vyhodnocení měřených dat a očekávanou absolutní nebo relativní přesnost je nutno diskutovat předem s dodavatelem.</w:t>
      </w:r>
    </w:p>
    <w:bookmarkEnd w:id="6"/>
    <w:p w:rsidR="0028433E" w:rsidRDefault="00A3184E"/>
    <w:sectPr w:rsidR="0028433E" w:rsidSect="009E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6986862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compat/>
  <w:rsids>
    <w:rsidRoot w:val="00A3184E"/>
    <w:rsid w:val="00001FED"/>
    <w:rsid w:val="00720A69"/>
    <w:rsid w:val="00741490"/>
    <w:rsid w:val="00921273"/>
    <w:rsid w:val="009E1AB3"/>
    <w:rsid w:val="00A3184E"/>
    <w:rsid w:val="00AB2CAB"/>
    <w:rsid w:val="00E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EES" w:eastAsia="Times New Roman" w:hAnsi="RomanEES" w:cs="Times New Roman"/>
      <w:szCs w:val="20"/>
      <w:lang w:val="en-US" w:eastAsia="cs-CZ"/>
    </w:rPr>
  </w:style>
  <w:style w:type="paragraph" w:styleId="Nadpis1">
    <w:name w:val="heading 1"/>
    <w:basedOn w:val="Normln"/>
    <w:next w:val="Zkladntext"/>
    <w:link w:val="Nadpis1Char"/>
    <w:qFormat/>
    <w:rsid w:val="00A3184E"/>
    <w:pPr>
      <w:keepNext/>
      <w:keepLines/>
      <w:numPr>
        <w:numId w:val="1"/>
      </w:numPr>
      <w:pBdr>
        <w:bottom w:val="single" w:sz="6" w:space="3" w:color="auto"/>
      </w:pBdr>
      <w:spacing w:before="360" w:after="120" w:line="360" w:lineRule="exact"/>
      <w:outlineLvl w:val="0"/>
    </w:pPr>
    <w:rPr>
      <w:rFonts w:ascii="Times New Roman" w:hAnsi="Times New Roman"/>
      <w:b/>
      <w:caps/>
      <w:kern w:val="28"/>
      <w:sz w:val="28"/>
    </w:rPr>
  </w:style>
  <w:style w:type="paragraph" w:styleId="Nadpis2">
    <w:name w:val="heading 2"/>
    <w:basedOn w:val="Normln"/>
    <w:next w:val="Zkladntext"/>
    <w:link w:val="Nadpis2Char"/>
    <w:qFormat/>
    <w:rsid w:val="00A3184E"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rFonts w:ascii="Times New Roman" w:hAnsi="Times New Roman"/>
      <w:b/>
      <w:kern w:val="28"/>
      <w:sz w:val="24"/>
    </w:rPr>
  </w:style>
  <w:style w:type="paragraph" w:styleId="Nadpis3">
    <w:name w:val="heading 3"/>
    <w:basedOn w:val="Normln"/>
    <w:next w:val="Zkladntext"/>
    <w:link w:val="Nadpis3Char"/>
    <w:qFormat/>
    <w:rsid w:val="00A3184E"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rFonts w:ascii="Times New Roman" w:hAnsi="Times New Roman"/>
      <w:b/>
      <w:kern w:val="28"/>
      <w:sz w:val="24"/>
    </w:rPr>
  </w:style>
  <w:style w:type="paragraph" w:styleId="Nadpis4">
    <w:name w:val="heading 4"/>
    <w:basedOn w:val="Normln"/>
    <w:next w:val="Zkladntext"/>
    <w:link w:val="Nadpis4Char"/>
    <w:qFormat/>
    <w:rsid w:val="00A3184E"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  <w:sz w:val="24"/>
    </w:rPr>
  </w:style>
  <w:style w:type="paragraph" w:styleId="Nadpis5">
    <w:name w:val="heading 5"/>
    <w:basedOn w:val="Normln"/>
    <w:next w:val="Zkladntext"/>
    <w:link w:val="Nadpis5Char"/>
    <w:qFormat/>
    <w:rsid w:val="00A3184E"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  <w:sz w:val="24"/>
    </w:rPr>
  </w:style>
  <w:style w:type="paragraph" w:styleId="Nadpis6">
    <w:name w:val="heading 6"/>
    <w:basedOn w:val="Normln"/>
    <w:next w:val="Zkladntext"/>
    <w:link w:val="Nadpis6Char"/>
    <w:qFormat/>
    <w:rsid w:val="00A3184E"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Nadpis7">
    <w:name w:val="heading 7"/>
    <w:basedOn w:val="Normln"/>
    <w:next w:val="Zkladntext"/>
    <w:link w:val="Nadpis7Char"/>
    <w:qFormat/>
    <w:rsid w:val="00A3184E"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Nadpis8">
    <w:name w:val="heading 8"/>
    <w:basedOn w:val="Normln"/>
    <w:next w:val="Zkladntext"/>
    <w:link w:val="Nadpis8Char"/>
    <w:qFormat/>
    <w:rsid w:val="00A3184E"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link w:val="Nadpis9Char"/>
    <w:qFormat/>
    <w:rsid w:val="00A3184E"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84E"/>
    <w:rPr>
      <w:rFonts w:ascii="Times New Roman" w:eastAsia="Times New Roman" w:hAnsi="Times New Roman" w:cs="Times New Roman"/>
      <w:b/>
      <w:caps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A3184E"/>
    <w:rPr>
      <w:rFonts w:ascii="Times New Roman" w:eastAsia="Times New Roman" w:hAnsi="Times New Roman" w:cs="Times New Roman"/>
      <w:b/>
      <w:kern w:val="28"/>
      <w:sz w:val="24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A3184E"/>
    <w:rPr>
      <w:rFonts w:ascii="Times New Roman" w:eastAsia="Times New Roman" w:hAnsi="Times New Roman" w:cs="Times New Roman"/>
      <w:b/>
      <w:kern w:val="28"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A3184E"/>
    <w:rPr>
      <w:rFonts w:ascii="RomanEES" w:eastAsia="Times New Roman" w:hAnsi="RomanEES" w:cs="Times New Roman"/>
      <w:b/>
      <w:kern w:val="28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A3184E"/>
    <w:rPr>
      <w:rFonts w:ascii="RomanEES" w:eastAsia="Times New Roman" w:hAnsi="RomanEES" w:cs="Times New Roman"/>
      <w:b/>
      <w:i/>
      <w:kern w:val="28"/>
      <w:sz w:val="24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A3184E"/>
    <w:rPr>
      <w:rFonts w:ascii="RomanEES" w:eastAsia="Times New Roman" w:hAnsi="RomanEES" w:cs="Times New Roman"/>
      <w:b/>
      <w:kern w:val="28"/>
      <w:szCs w:val="20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A3184E"/>
    <w:rPr>
      <w:rFonts w:ascii="RomanEES" w:eastAsia="Times New Roman" w:hAnsi="RomanEES" w:cs="Times New Roman"/>
      <w:kern w:val="28"/>
      <w:szCs w:val="20"/>
      <w:lang w:val="en-US" w:eastAsia="cs-CZ"/>
    </w:rPr>
  </w:style>
  <w:style w:type="character" w:customStyle="1" w:styleId="Nadpis8Char">
    <w:name w:val="Nadpis 8 Char"/>
    <w:basedOn w:val="Standardnpsmoodstavce"/>
    <w:link w:val="Nadpis8"/>
    <w:rsid w:val="00A3184E"/>
    <w:rPr>
      <w:rFonts w:ascii="RomanEES" w:eastAsia="Times New Roman" w:hAnsi="RomanEES" w:cs="Times New Roman"/>
      <w:i/>
      <w:kern w:val="28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rsid w:val="00A3184E"/>
    <w:rPr>
      <w:rFonts w:ascii="RomanEES" w:eastAsia="Times New Roman" w:hAnsi="RomanEES" w:cs="Times New Roman"/>
      <w:i/>
      <w:kern w:val="28"/>
      <w:szCs w:val="20"/>
      <w:lang w:val="en-US" w:eastAsia="cs-CZ"/>
    </w:rPr>
  </w:style>
  <w:style w:type="paragraph" w:customStyle="1" w:styleId="Text">
    <w:name w:val="Text"/>
    <w:basedOn w:val="Normln"/>
    <w:rsid w:val="00A3184E"/>
    <w:pPr>
      <w:overflowPunct/>
      <w:autoSpaceDE/>
      <w:autoSpaceDN/>
      <w:adjustRightInd/>
      <w:spacing w:after="120" w:line="252" w:lineRule="auto"/>
      <w:textAlignment w:val="auto"/>
    </w:pPr>
    <w:rPr>
      <w:rFonts w:ascii="Times New Roman" w:hAnsi="Times New Roman"/>
      <w:sz w:val="20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8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84E"/>
    <w:rPr>
      <w:rFonts w:ascii="RomanEES" w:eastAsia="Times New Roman" w:hAnsi="RomanEES" w:cs="Times New Roman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2018-04-16T18:02:00Z</dcterms:created>
  <dcterms:modified xsi:type="dcterms:W3CDTF">2018-04-16T18:02:00Z</dcterms:modified>
</cp:coreProperties>
</file>